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BD06A9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9084E84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626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42AC0319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994114" w:rsidRPr="00D75F8B">
        <w:rPr>
          <w:rFonts w:ascii="Arial" w:hAnsi="Arial" w:cs="Arial"/>
          <w:sz w:val="22"/>
          <w:szCs w:val="22"/>
          <w:lang w:val="sr-Latn-RS"/>
        </w:rPr>
        <w:t>15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53DAA59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994114" w:rsidRPr="00D75F8B">
        <w:rPr>
          <w:rFonts w:ascii="Arial" w:hAnsi="Arial" w:cs="Arial"/>
          <w:b w:val="0"/>
          <w:sz w:val="22"/>
          <w:szCs w:val="22"/>
          <w:lang w:val="sr-Cyrl-RS"/>
        </w:rPr>
        <w:t>626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994114" w:rsidRPr="00D75F8B">
        <w:rPr>
          <w:rFonts w:ascii="Arial" w:hAnsi="Arial" w:cs="Arial"/>
          <w:b w:val="0"/>
          <w:sz w:val="22"/>
          <w:szCs w:val="22"/>
          <w:lang w:val="sr-Cyrl-RS"/>
        </w:rPr>
        <w:t>11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994114" w:rsidRPr="00D75F8B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CE28C43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14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553CF67F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CD13B0">
        <w:rPr>
          <w:rFonts w:ascii="Arial" w:hAnsi="Arial" w:cs="Arial"/>
          <w:bCs/>
          <w:sz w:val="22"/>
          <w:szCs w:val="22"/>
          <w:lang w:val="sr-Cyrl-CS"/>
        </w:rPr>
        <w:t xml:space="preserve">услуга 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>Сервис</w:t>
      </w:r>
      <w:r w:rsidR="00CD13B0">
        <w:rPr>
          <w:rFonts w:ascii="Arial" w:hAnsi="Arial" w:cs="Arial"/>
          <w:b/>
          <w:noProof/>
          <w:sz w:val="22"/>
          <w:szCs w:val="22"/>
          <w:lang w:val="sr-Cyrl-CS"/>
        </w:rPr>
        <w:t>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електричних уређаја, апарата, расхладне и друге опреме за домаћинство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2.2</w:t>
      </w:r>
      <w:r w:rsidR="00994114" w:rsidRPr="00D75F8B">
        <w:rPr>
          <w:rFonts w:ascii="Arial" w:hAnsi="Arial" w:cs="Arial"/>
          <w:bCs/>
          <w:sz w:val="22"/>
          <w:szCs w:val="22"/>
          <w:lang w:val="sr-Cyrl-CS"/>
        </w:rPr>
        <w:t>2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,</w:t>
      </w:r>
      <w:r w:rsidR="00994114" w:rsidRPr="00D75F8B">
        <w:rPr>
          <w:rFonts w:ascii="Arial" w:hAnsi="Arial" w:cs="Arial"/>
          <w:bCs/>
          <w:sz w:val="22"/>
          <w:szCs w:val="22"/>
          <w:lang w:val="sr-Cyrl-CS"/>
        </w:rPr>
        <w:t xml:space="preserve"> 2.34 и 2.36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позива, ради закључења уговора.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7F761F36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994114" w:rsidRPr="00D75F8B">
        <w:rPr>
          <w:rFonts w:ascii="Arial" w:hAnsi="Arial" w:cs="Arial"/>
          <w:sz w:val="22"/>
          <w:szCs w:val="22"/>
        </w:rPr>
        <w:t>Сервис</w:t>
      </w:r>
      <w:proofErr w:type="spellEnd"/>
      <w:r w:rsidR="00994114"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114" w:rsidRPr="00D75F8B">
        <w:rPr>
          <w:rFonts w:ascii="Arial" w:hAnsi="Arial" w:cs="Arial"/>
          <w:sz w:val="22"/>
          <w:szCs w:val="22"/>
        </w:rPr>
        <w:t>електри</w:t>
      </w:r>
      <w:r w:rsidR="00E67BF6">
        <w:rPr>
          <w:rFonts w:ascii="Arial" w:hAnsi="Arial" w:cs="Arial"/>
          <w:sz w:val="22"/>
          <w:szCs w:val="22"/>
        </w:rPr>
        <w:t>чних</w:t>
      </w:r>
      <w:proofErr w:type="spellEnd"/>
      <w:r w:rsidR="00E67B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BF6">
        <w:rPr>
          <w:rFonts w:ascii="Arial" w:hAnsi="Arial" w:cs="Arial"/>
          <w:sz w:val="22"/>
          <w:szCs w:val="22"/>
        </w:rPr>
        <w:t>уређаја</w:t>
      </w:r>
      <w:proofErr w:type="spellEnd"/>
      <w:r w:rsidR="00E67B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67BF6">
        <w:rPr>
          <w:rFonts w:ascii="Arial" w:hAnsi="Arial" w:cs="Arial"/>
          <w:sz w:val="22"/>
          <w:szCs w:val="22"/>
        </w:rPr>
        <w:t>апарата</w:t>
      </w:r>
      <w:proofErr w:type="spellEnd"/>
      <w:r w:rsidR="00E67B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67BF6">
        <w:rPr>
          <w:rFonts w:ascii="Arial" w:hAnsi="Arial" w:cs="Arial"/>
          <w:sz w:val="22"/>
          <w:szCs w:val="22"/>
        </w:rPr>
        <w:t>расхладн</w:t>
      </w:r>
      <w:r w:rsidR="00CD13B0">
        <w:rPr>
          <w:rFonts w:ascii="Arial" w:hAnsi="Arial" w:cs="Arial"/>
          <w:sz w:val="22"/>
          <w:szCs w:val="22"/>
        </w:rPr>
        <w:t>е</w:t>
      </w:r>
      <w:proofErr w:type="spellEnd"/>
      <w:r w:rsidR="00CD13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D13B0">
        <w:rPr>
          <w:rFonts w:ascii="Arial" w:hAnsi="Arial" w:cs="Arial"/>
          <w:sz w:val="22"/>
          <w:szCs w:val="22"/>
        </w:rPr>
        <w:t>друге</w:t>
      </w:r>
      <w:proofErr w:type="spellEnd"/>
      <w:r w:rsidR="00C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3B0">
        <w:rPr>
          <w:rFonts w:ascii="Arial" w:hAnsi="Arial" w:cs="Arial"/>
          <w:sz w:val="22"/>
          <w:szCs w:val="22"/>
        </w:rPr>
        <w:t>опреме</w:t>
      </w:r>
      <w:proofErr w:type="spellEnd"/>
      <w:r w:rsidR="00C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3B0">
        <w:rPr>
          <w:rFonts w:ascii="Arial" w:hAnsi="Arial" w:cs="Arial"/>
          <w:sz w:val="22"/>
          <w:szCs w:val="22"/>
        </w:rPr>
        <w:t>за</w:t>
      </w:r>
      <w:proofErr w:type="spellEnd"/>
      <w:r w:rsidR="00C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3B0">
        <w:rPr>
          <w:rFonts w:ascii="Arial" w:hAnsi="Arial" w:cs="Arial"/>
          <w:sz w:val="22"/>
          <w:szCs w:val="22"/>
        </w:rPr>
        <w:t>домаћинство</w:t>
      </w:r>
      <w:proofErr w:type="spellEnd"/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25B54D8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3754C9" w:rsidRPr="00D75F8B">
        <w:rPr>
          <w:rFonts w:ascii="Arial" w:hAnsi="Arial" w:cs="Arial"/>
          <w:b/>
          <w:sz w:val="22"/>
          <w:szCs w:val="22"/>
          <w:lang w:val="sr-Cyrl-RS"/>
        </w:rPr>
        <w:t>2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2.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77777777" w:rsidR="00FC29F0" w:rsidRPr="00D75F8B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4889762" w14:textId="77777777" w:rsidR="0076352C" w:rsidRPr="00D75F8B" w:rsidRDefault="0076352C" w:rsidP="0076352C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 xml:space="preserve">Опис предмета набавке услуга: </w:t>
      </w:r>
    </w:p>
    <w:p w14:paraId="572449EA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Предметна услуга обухвата долазак у просторије наручиоца, утврђивање квара, отклањање недостатака и замену неисправних делова новим, резервним деловима и све зависне трошкове. </w:t>
      </w:r>
    </w:p>
    <w:p w14:paraId="26348282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Поправка уређаја се врши по цени (по позиву – по уређају) исказаној у обрасцу понуде.   </w:t>
      </w:r>
    </w:p>
    <w:p w14:paraId="477F694D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Понуђач је обавезан да се одазове у року од 2 (два) сата по пријему захтева наручиоца за поправку (телефоном, телефаксом или е-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mailo</w:t>
      </w:r>
      <w:proofErr w:type="spellEnd"/>
      <w:r w:rsidRPr="00D75F8B">
        <w:rPr>
          <w:rFonts w:ascii="Arial" w:hAnsi="Arial" w:cs="Arial"/>
          <w:sz w:val="22"/>
          <w:szCs w:val="22"/>
          <w:lang w:val="sr-Latn-RS" w:eastAsia="ar-SA"/>
        </w:rPr>
        <w:t>m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>), у редовно радно време  (6:30 – 20:00 сати, радним данима, ) као  и након радног времена и нерадним данима када је то неопходно.</w:t>
      </w:r>
    </w:p>
    <w:p w14:paraId="7DF79206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потрошног материјала ради поправке, </w:t>
      </w: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пружање услуге се врши на основу претходне писане сагласности Наручиоца на понуду Понуђача (Пружаоца).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 Уз понуду, понуђач је дужан да достави и фотокопију рачуна добављача резервних делова, којим се оправдава износ цене (цена резервних делова неопходних за  поправку не може бити увећана у односу на набавну цену).  </w:t>
      </w:r>
    </w:p>
    <w:p w14:paraId="1DA9F554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1C3568D1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 xml:space="preserve"> Гаранција за уграђене резервне делове мора бити на период назначен од стране произвођача резервног дела.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Гаранција подразумева обавезу понуђача,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7 (седам) радних дана од дана пријема писане сагласности Наручиоца. Све поправке на уграђеним резервним деловима, у гарантном року сноси понуђач.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Замењенe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резервнe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деловe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који нису у гарантном року вратити наручиоцу. </w:t>
      </w:r>
    </w:p>
    <w:p w14:paraId="4802D079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 xml:space="preserve"> Гарантни рок за пружене услуге поправке не може бити краћи од 12 (дванаест) месеци.  </w:t>
      </w:r>
    </w:p>
    <w:p w14:paraId="2F0494CA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DCCD343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услуга поправке су просторије Института за јавно здравље Војводине,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121, 21000 Нови Сад, а уколико није могуће услугу обавити на терену, поправку извршити у сервису понуђача.  </w:t>
      </w:r>
    </w:p>
    <w:p w14:paraId="15D18EEE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2364EEEB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96"/>
      </w:tblGrid>
      <w:tr w:rsidR="0076352C" w:rsidRPr="00D75F8B" w14:paraId="579081DA" w14:textId="77777777" w:rsidTr="0028164F">
        <w:trPr>
          <w:trHeight w:val="225"/>
        </w:trPr>
        <w:tc>
          <w:tcPr>
            <w:tcW w:w="734" w:type="dxa"/>
            <w:shd w:val="clear" w:color="auto" w:fill="auto"/>
          </w:tcPr>
          <w:p w14:paraId="722E7885" w14:textId="77777777" w:rsidR="0076352C" w:rsidRPr="00D75F8B" w:rsidRDefault="0076352C" w:rsidP="0028164F">
            <w:pPr>
              <w:ind w:left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sr-Cyrl-CS"/>
              </w:rPr>
              <w:t>Р.Б</w:t>
            </w:r>
          </w:p>
        </w:tc>
        <w:tc>
          <w:tcPr>
            <w:tcW w:w="8896" w:type="dxa"/>
            <w:shd w:val="clear" w:color="auto" w:fill="auto"/>
          </w:tcPr>
          <w:p w14:paraId="7BD28DA2" w14:textId="77777777" w:rsidR="0076352C" w:rsidRPr="00D75F8B" w:rsidRDefault="0076352C" w:rsidP="0028164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Врста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услуге</w:t>
            </w:r>
            <w:proofErr w:type="spellEnd"/>
          </w:p>
        </w:tc>
      </w:tr>
      <w:tr w:rsidR="0076352C" w:rsidRPr="00D75F8B" w14:paraId="61029AA1" w14:textId="77777777" w:rsidTr="0028164F">
        <w:trPr>
          <w:trHeight w:val="749"/>
        </w:trPr>
        <w:tc>
          <w:tcPr>
            <w:tcW w:w="734" w:type="dxa"/>
            <w:shd w:val="clear" w:color="auto" w:fill="auto"/>
          </w:tcPr>
          <w:p w14:paraId="5DD267BA" w14:textId="77777777" w:rsidR="0076352C" w:rsidRPr="00D75F8B" w:rsidRDefault="0076352C" w:rsidP="0028164F">
            <w:pPr>
              <w:ind w:left="120"/>
              <w:rPr>
                <w:rFonts w:ascii="Arial" w:eastAsia="Calibri" w:hAnsi="Arial" w:cs="Arial"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6BE23B1C" w14:textId="77777777" w:rsidR="0076352C" w:rsidRPr="00D75F8B" w:rsidRDefault="0076352C" w:rsidP="0028164F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Поправка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и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сервисирање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термичких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уређаја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(</w:t>
            </w:r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 xml:space="preserve">грејна тела -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Герхарт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 xml:space="preserve">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Селекта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 xml:space="preserve">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Хедас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...)</w:t>
            </w:r>
          </w:p>
        </w:tc>
      </w:tr>
      <w:tr w:rsidR="0076352C" w:rsidRPr="00D75F8B" w14:paraId="6D284723" w14:textId="77777777" w:rsidTr="0028164F">
        <w:trPr>
          <w:trHeight w:val="509"/>
        </w:trPr>
        <w:tc>
          <w:tcPr>
            <w:tcW w:w="734" w:type="dxa"/>
            <w:shd w:val="clear" w:color="auto" w:fill="auto"/>
          </w:tcPr>
          <w:p w14:paraId="3BF2FD43" w14:textId="77777777" w:rsidR="0076352C" w:rsidRPr="00D75F8B" w:rsidRDefault="0076352C" w:rsidP="0028164F">
            <w:pPr>
              <w:ind w:left="120"/>
              <w:rPr>
                <w:rFonts w:ascii="Arial" w:eastAsia="Calibri" w:hAnsi="Arial" w:cs="Arial"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73EAC6F5" w14:textId="77777777" w:rsidR="0076352C" w:rsidRPr="00D75F8B" w:rsidRDefault="0076352C" w:rsidP="0028164F">
            <w:pPr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Поправка и сервисирање расхладних уређаја </w:t>
            </w:r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(</w:t>
            </w:r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расхладне витрине, расхладне коморе</w:t>
            </w:r>
          </w:p>
          <w:p w14:paraId="10DF9A1F" w14:textId="77777777" w:rsidR="0076352C" w:rsidRPr="00D75F8B" w:rsidRDefault="0076352C" w:rsidP="0028164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замрзивачи, фрижидери…</w:t>
            </w:r>
          </w:p>
        </w:tc>
      </w:tr>
      <w:tr w:rsidR="0076352C" w:rsidRPr="00D75F8B" w14:paraId="00CFD013" w14:textId="77777777" w:rsidTr="0028164F">
        <w:trPr>
          <w:trHeight w:val="738"/>
        </w:trPr>
        <w:tc>
          <w:tcPr>
            <w:tcW w:w="734" w:type="dxa"/>
            <w:shd w:val="clear" w:color="auto" w:fill="auto"/>
          </w:tcPr>
          <w:p w14:paraId="3D3E0C8A" w14:textId="77777777" w:rsidR="0076352C" w:rsidRPr="00D75F8B" w:rsidRDefault="0076352C" w:rsidP="0028164F">
            <w:pPr>
              <w:ind w:left="120"/>
              <w:rPr>
                <w:rFonts w:ascii="Arial" w:eastAsia="Calibri" w:hAnsi="Arial" w:cs="Arial"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1073E9AB" w14:textId="77777777" w:rsidR="0076352C" w:rsidRPr="00D75F8B" w:rsidRDefault="0076352C" w:rsidP="0028164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Сервисирање осталих апарата и уређаја ( пећ иза жарење,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дестилатори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аутоклав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водена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кушатила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термостати, инкубатори, решо, вакум пумпе,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дејонизатори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</w:p>
          <w:p w14:paraId="49D80F4D" w14:textId="77777777" w:rsidR="0076352C" w:rsidRPr="00D75F8B" w:rsidRDefault="0076352C" w:rsidP="0028164F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турбидиметер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стерилизатори ...)</w:t>
            </w:r>
          </w:p>
        </w:tc>
      </w:tr>
    </w:tbl>
    <w:p w14:paraId="3F6E06E0" w14:textId="77777777" w:rsidR="0076352C" w:rsidRPr="00D75F8B" w:rsidRDefault="0076352C" w:rsidP="0076352C">
      <w:pPr>
        <w:tabs>
          <w:tab w:val="left" w:pos="28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ab/>
      </w:r>
    </w:p>
    <w:p w14:paraId="7B0A8C0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Наручилац </w:t>
      </w:r>
      <w:proofErr w:type="spellStart"/>
      <w:r w:rsidRPr="00D75F8B">
        <w:rPr>
          <w:rFonts w:ascii="Arial" w:hAnsi="Arial" w:cs="Arial"/>
          <w:bCs/>
          <w:sz w:val="22"/>
          <w:szCs w:val="22"/>
          <w:lang w:val="sr-Cyrl-CS"/>
        </w:rPr>
        <w:t>заджава</w:t>
      </w:r>
      <w:proofErr w:type="spellEnd"/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право да врсту и количину опрему за одржавање повећа или смањи сходно потребама.</w:t>
      </w:r>
    </w:p>
    <w:p w14:paraId="5EAAC6E0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89C7396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050B3722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У прилогу овог позива достављамо вам:</w:t>
      </w:r>
    </w:p>
    <w:p w14:paraId="1A4ECD93" w14:textId="77777777" w:rsidR="0076352C" w:rsidRPr="00D75F8B" w:rsidRDefault="0076352C" w:rsidP="0076352C">
      <w:pPr>
        <w:pStyle w:val="ListParagraph"/>
        <w:numPr>
          <w:ilvl w:val="0"/>
          <w:numId w:val="7"/>
        </w:num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Образац понуде који је потребно попунити, потписати и оверити печатом</w:t>
      </w:r>
    </w:p>
    <w:p w14:paraId="5C31390C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6766677C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E9CEFFD" w14:textId="36B8EE1B" w:rsidR="0076352C" w:rsidRPr="00D75F8B" w:rsidRDefault="0076352C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6F9361F0" w14:textId="6B457FAE" w:rsidR="00994114" w:rsidRPr="00D75F8B" w:rsidRDefault="00994114" w:rsidP="0076352C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344B96D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понуде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број: _______________</w:t>
      </w:r>
    </w:p>
    <w:p w14:paraId="52E7AE8B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D1FF9EB" w14:textId="77777777" w:rsidR="0076352C" w:rsidRPr="00D75F8B" w:rsidRDefault="0076352C" w:rsidP="0076352C">
      <w:pPr>
        <w:spacing w:before="100" w:beforeAutospacing="1"/>
        <w:ind w:right="259"/>
        <w:rPr>
          <w:rFonts w:ascii="Arial" w:hAnsi="Arial" w:cs="Arial"/>
          <w:sz w:val="22"/>
          <w:szCs w:val="22"/>
          <w:lang w:val="sr-Latn-RS" w:eastAsia="sr-Latn-RS"/>
        </w:rPr>
      </w:pPr>
      <w:r w:rsidRPr="00D75F8B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p w14:paraId="6EC363AA" w14:textId="77777777" w:rsidR="0076352C" w:rsidRPr="00D75F8B" w:rsidRDefault="0076352C" w:rsidP="0076352C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sz w:val="22"/>
          <w:szCs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6352C" w:rsidRPr="00D75F8B" w14:paraId="76F17D0C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372E8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C1BC0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7E4AB38D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72F92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8B169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0CFD1A0C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72116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CFC04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46CDA874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CE3BF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A08BB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09DBDDB7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43EA9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4AF0A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6238AA04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5691B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E106A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625491A2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F50CB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B4075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6FB74A19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3D87B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74BE59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4AA30065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2A541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A9857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0926BBA2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304C5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AF0DB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06045EA0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8E090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BBC52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0C8113DF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EC284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92A1A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79126633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3FF31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1E8F3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10E4E197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7AE02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B69C1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7D0D4904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F147B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1761E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38BC2683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722C8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DFDBD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76352C" w:rsidRPr="00D75F8B" w14:paraId="4641C190" w14:textId="77777777" w:rsidTr="0028164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E3AD2" w14:textId="77777777" w:rsidR="0076352C" w:rsidRPr="00D75F8B" w:rsidRDefault="0076352C" w:rsidP="0028164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D75F8B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34BDB" w14:textId="77777777" w:rsidR="0076352C" w:rsidRPr="00D75F8B" w:rsidRDefault="0076352C" w:rsidP="0028164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63AB8335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5D5768C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931C11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4C935DE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6246D6C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E86B81B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1519E8E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33C70A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0BA5995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80B9BB1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060CB17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C5BF983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F7FED5C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9C1A2E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49493B9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2F40570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6815C72" w14:textId="77777777" w:rsidR="0076352C" w:rsidRPr="00D75F8B" w:rsidRDefault="0076352C" w:rsidP="0076352C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Cyrl-CS"/>
        </w:rPr>
      </w:pPr>
    </w:p>
    <w:p w14:paraId="0BC47B8E" w14:textId="37423B92" w:rsidR="0076352C" w:rsidRPr="00D75F8B" w:rsidRDefault="0076352C" w:rsidP="0076352C">
      <w:pPr>
        <w:spacing w:after="200" w:line="276" w:lineRule="auto"/>
        <w:rPr>
          <w:rFonts w:ascii="Arial" w:eastAsia="Calibri" w:hAnsi="Arial" w:cs="Arial"/>
          <w:sz w:val="22"/>
          <w:szCs w:val="22"/>
          <w:lang w:val="sr-Cyrl-CS"/>
        </w:rPr>
      </w:pPr>
      <w:r w:rsidRPr="00D75F8B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Pr="00D75F8B">
        <w:rPr>
          <w:rFonts w:ascii="Arial" w:eastAsia="TimesNewRomanPSMT" w:hAnsi="Arial" w:cs="Arial"/>
          <w:b/>
          <w:bCs/>
          <w:sz w:val="22"/>
          <w:szCs w:val="22"/>
          <w:lang w:val="ru-RU"/>
        </w:rPr>
        <w:t>-</w:t>
      </w:r>
      <w:r w:rsidRPr="00D75F8B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 xml:space="preserve">Сервис електричних уређаја, апарата, </w:t>
      </w:r>
      <w:proofErr w:type="spellStart"/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расхладние</w:t>
      </w:r>
      <w:proofErr w:type="spellEnd"/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 xml:space="preserve"> и друге опреме за домаћинство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6"/>
        <w:gridCol w:w="3356"/>
        <w:gridCol w:w="1490"/>
        <w:gridCol w:w="1705"/>
        <w:gridCol w:w="1705"/>
      </w:tblGrid>
      <w:tr w:rsidR="0076352C" w:rsidRPr="00D75F8B" w14:paraId="1B7B8072" w14:textId="77777777" w:rsidTr="0076352C">
        <w:trPr>
          <w:trHeight w:val="823"/>
        </w:trPr>
        <w:tc>
          <w:tcPr>
            <w:tcW w:w="806" w:type="dxa"/>
            <w:vAlign w:val="center"/>
          </w:tcPr>
          <w:p w14:paraId="0BC49D8D" w14:textId="77777777" w:rsidR="0076352C" w:rsidRPr="00D75F8B" w:rsidRDefault="0076352C" w:rsidP="0076352C">
            <w:pPr>
              <w:spacing w:line="206" w:lineRule="exact"/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Ред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.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бр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3356" w:type="dxa"/>
            <w:vAlign w:val="center"/>
          </w:tcPr>
          <w:p w14:paraId="10DCEF16" w14:textId="77777777" w:rsidR="0076352C" w:rsidRPr="00D75F8B" w:rsidRDefault="0076352C" w:rsidP="0076352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Врста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услуге</w:t>
            </w:r>
            <w:proofErr w:type="spellEnd"/>
          </w:p>
        </w:tc>
        <w:tc>
          <w:tcPr>
            <w:tcW w:w="1490" w:type="dxa"/>
            <w:vAlign w:val="center"/>
          </w:tcPr>
          <w:p w14:paraId="06CCCFB3" w14:textId="24528E26" w:rsidR="0076352C" w:rsidRPr="00D75F8B" w:rsidRDefault="0076352C" w:rsidP="0076352C">
            <w:pPr>
              <w:spacing w:line="206" w:lineRule="exact"/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Cyrl-CS"/>
              </w:rPr>
              <w:t>Број часова</w:t>
            </w:r>
          </w:p>
        </w:tc>
        <w:tc>
          <w:tcPr>
            <w:tcW w:w="1705" w:type="dxa"/>
            <w:vAlign w:val="center"/>
          </w:tcPr>
          <w:p w14:paraId="7A48BC0C" w14:textId="58CBEE7D" w:rsidR="0076352C" w:rsidRPr="00D75F8B" w:rsidRDefault="0076352C" w:rsidP="0076352C">
            <w:pPr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Вредност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обрачунског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сата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(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јединична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цена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)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без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ПДВ-а</w:t>
            </w:r>
          </w:p>
        </w:tc>
        <w:tc>
          <w:tcPr>
            <w:tcW w:w="1705" w:type="dxa"/>
            <w:vAlign w:val="center"/>
          </w:tcPr>
          <w:p w14:paraId="53631723" w14:textId="3B096458" w:rsidR="0076352C" w:rsidRPr="00D75F8B" w:rsidRDefault="0076352C" w:rsidP="00D75F8B">
            <w:pPr>
              <w:spacing w:line="206" w:lineRule="exact"/>
              <w:ind w:left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Вредност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обрачунског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>сата</w:t>
            </w:r>
            <w:proofErr w:type="spellEnd"/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(</w:t>
            </w:r>
            <w:r w:rsidR="00D75F8B"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Cyrl-CS"/>
              </w:rPr>
              <w:t>Укупна цена</w:t>
            </w:r>
            <w:r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) </w:t>
            </w:r>
            <w:r w:rsidR="00D75F8B"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Cyrl-CS"/>
              </w:rPr>
              <w:t>без</w:t>
            </w:r>
            <w:r w:rsidR="00D75F8B" w:rsidRPr="00D75F8B">
              <w:rPr>
                <w:rFonts w:ascii="Arial" w:eastAsia="Calibri" w:hAnsi="Arial" w:cs="Arial"/>
                <w:b/>
                <w:bCs/>
                <w:sz w:val="22"/>
                <w:szCs w:val="22"/>
                <w:lang w:eastAsia="sr-Cyrl-CS"/>
              </w:rPr>
              <w:t xml:space="preserve"> ПДВ-а</w:t>
            </w:r>
          </w:p>
        </w:tc>
      </w:tr>
      <w:tr w:rsidR="0076352C" w:rsidRPr="00D75F8B" w14:paraId="0EC81BE3" w14:textId="77777777" w:rsidTr="00994114">
        <w:trPr>
          <w:trHeight w:val="371"/>
        </w:trPr>
        <w:tc>
          <w:tcPr>
            <w:tcW w:w="806" w:type="dxa"/>
          </w:tcPr>
          <w:p w14:paraId="6BFB4A03" w14:textId="77777777" w:rsidR="0076352C" w:rsidRPr="00D75F8B" w:rsidRDefault="0076352C" w:rsidP="007635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22534290" w14:textId="77777777" w:rsidR="0076352C" w:rsidRPr="00D75F8B" w:rsidRDefault="0076352C" w:rsidP="0076352C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Поправка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и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сервисирање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термичких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уређаја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 xml:space="preserve"> (</w:t>
            </w:r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 xml:space="preserve">грејна тела -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Герхарт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 xml:space="preserve">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Селекта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 xml:space="preserve">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Хедас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...)</w:t>
            </w:r>
          </w:p>
        </w:tc>
        <w:tc>
          <w:tcPr>
            <w:tcW w:w="1490" w:type="dxa"/>
            <w:vAlign w:val="center"/>
          </w:tcPr>
          <w:p w14:paraId="6F2D5052" w14:textId="36839217" w:rsidR="0076352C" w:rsidRPr="00D75F8B" w:rsidRDefault="00994114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5" w:type="dxa"/>
            <w:vAlign w:val="center"/>
          </w:tcPr>
          <w:p w14:paraId="386F5AF7" w14:textId="77777777" w:rsidR="0076352C" w:rsidRPr="00D75F8B" w:rsidRDefault="0076352C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05" w:type="dxa"/>
            <w:vAlign w:val="center"/>
          </w:tcPr>
          <w:p w14:paraId="23019544" w14:textId="77777777" w:rsidR="0076352C" w:rsidRPr="00D75F8B" w:rsidRDefault="0076352C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76352C" w:rsidRPr="00D75F8B" w14:paraId="2806588A" w14:textId="77777777" w:rsidTr="00994114">
        <w:trPr>
          <w:trHeight w:val="542"/>
        </w:trPr>
        <w:tc>
          <w:tcPr>
            <w:tcW w:w="806" w:type="dxa"/>
          </w:tcPr>
          <w:p w14:paraId="2DE28033" w14:textId="77777777" w:rsidR="0076352C" w:rsidRPr="00D75F8B" w:rsidRDefault="0076352C" w:rsidP="007635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655CE8DC" w14:textId="77777777" w:rsidR="0076352C" w:rsidRPr="00D75F8B" w:rsidRDefault="0076352C" w:rsidP="0076352C">
            <w:pPr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Поправка и сервисирање расхладних уређаја </w:t>
            </w:r>
            <w:r w:rsidRPr="00D75F8B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(</w:t>
            </w:r>
            <w:r w:rsidRPr="00D75F8B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расхладне витрине, расхладне коморе, замрзивачи, фрижидери…</w:t>
            </w:r>
          </w:p>
        </w:tc>
        <w:tc>
          <w:tcPr>
            <w:tcW w:w="1490" w:type="dxa"/>
            <w:vAlign w:val="center"/>
          </w:tcPr>
          <w:p w14:paraId="385E32F0" w14:textId="158926F4" w:rsidR="0076352C" w:rsidRPr="00D75F8B" w:rsidRDefault="00994114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5" w:type="dxa"/>
            <w:vAlign w:val="center"/>
          </w:tcPr>
          <w:p w14:paraId="10D4F410" w14:textId="77777777" w:rsidR="0076352C" w:rsidRPr="00D75F8B" w:rsidRDefault="0076352C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05" w:type="dxa"/>
            <w:vAlign w:val="center"/>
          </w:tcPr>
          <w:p w14:paraId="54A3B93E" w14:textId="77777777" w:rsidR="0076352C" w:rsidRPr="00D75F8B" w:rsidRDefault="0076352C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76352C" w:rsidRPr="00D75F8B" w14:paraId="71DCC6E1" w14:textId="77777777" w:rsidTr="00994114">
        <w:trPr>
          <w:trHeight w:val="1656"/>
        </w:trPr>
        <w:tc>
          <w:tcPr>
            <w:tcW w:w="806" w:type="dxa"/>
          </w:tcPr>
          <w:p w14:paraId="167F77E2" w14:textId="77777777" w:rsidR="0076352C" w:rsidRPr="00D75F8B" w:rsidRDefault="0076352C" w:rsidP="007635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5F8B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3326D319" w14:textId="77777777" w:rsidR="0076352C" w:rsidRPr="00D75F8B" w:rsidRDefault="0076352C" w:rsidP="0076352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Сервисирање осталих апарата и уређаја ( пећ иза жарење,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дестилатори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аутоклав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водена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кушатила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термостати, инкубатори, решо, вакум пумпе, </w:t>
            </w: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дејонизатори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, </w:t>
            </w:r>
          </w:p>
          <w:p w14:paraId="737D302F" w14:textId="77777777" w:rsidR="0076352C" w:rsidRPr="00D75F8B" w:rsidRDefault="0076352C" w:rsidP="0076352C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турбидиметер</w:t>
            </w:r>
            <w:proofErr w:type="spellEnd"/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стерилизатори ...)</w:t>
            </w:r>
          </w:p>
        </w:tc>
        <w:tc>
          <w:tcPr>
            <w:tcW w:w="1490" w:type="dxa"/>
            <w:vAlign w:val="center"/>
          </w:tcPr>
          <w:p w14:paraId="24AE6D91" w14:textId="5153FA6C" w:rsidR="0076352C" w:rsidRPr="00D75F8B" w:rsidRDefault="00994114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5" w:type="dxa"/>
            <w:vAlign w:val="center"/>
          </w:tcPr>
          <w:p w14:paraId="52AE1C21" w14:textId="77777777" w:rsidR="0076352C" w:rsidRPr="00D75F8B" w:rsidRDefault="0076352C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05" w:type="dxa"/>
            <w:vAlign w:val="center"/>
          </w:tcPr>
          <w:p w14:paraId="7C7A10A0" w14:textId="77777777" w:rsidR="0076352C" w:rsidRPr="00D75F8B" w:rsidRDefault="0076352C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D75F8B" w:rsidRPr="00D75F8B" w14:paraId="508CACB2" w14:textId="77777777" w:rsidTr="007F2152">
        <w:trPr>
          <w:trHeight w:val="414"/>
        </w:trPr>
        <w:tc>
          <w:tcPr>
            <w:tcW w:w="806" w:type="dxa"/>
            <w:vMerge w:val="restart"/>
          </w:tcPr>
          <w:p w14:paraId="45997E94" w14:textId="77777777" w:rsidR="00D75F8B" w:rsidRPr="00D75F8B" w:rsidRDefault="00D75F8B" w:rsidP="007635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C99DD1E" w14:textId="6CE6777E" w:rsidR="00D75F8B" w:rsidRPr="00D75F8B" w:rsidRDefault="00D75F8B" w:rsidP="0076352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Укупна цена свих услуга без ПДВ-а</w:t>
            </w:r>
          </w:p>
        </w:tc>
        <w:tc>
          <w:tcPr>
            <w:tcW w:w="4900" w:type="dxa"/>
            <w:gridSpan w:val="3"/>
            <w:vAlign w:val="center"/>
          </w:tcPr>
          <w:p w14:paraId="4345319A" w14:textId="77777777" w:rsidR="00D75F8B" w:rsidRPr="00D75F8B" w:rsidRDefault="00D75F8B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D75F8B" w:rsidRPr="00D75F8B" w14:paraId="6757175E" w14:textId="77777777" w:rsidTr="003D6CA5">
        <w:trPr>
          <w:trHeight w:val="194"/>
        </w:trPr>
        <w:tc>
          <w:tcPr>
            <w:tcW w:w="806" w:type="dxa"/>
            <w:vMerge/>
          </w:tcPr>
          <w:p w14:paraId="46A1FC61" w14:textId="77777777" w:rsidR="00D75F8B" w:rsidRPr="00D75F8B" w:rsidRDefault="00D75F8B" w:rsidP="0076352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F5BDE4B" w14:textId="1E6B5807" w:rsidR="00D75F8B" w:rsidRPr="00D75F8B" w:rsidRDefault="00D75F8B" w:rsidP="0076352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75F8B">
              <w:rPr>
                <w:rFonts w:ascii="Arial" w:eastAsia="Calibri" w:hAnsi="Arial" w:cs="Arial"/>
                <w:sz w:val="22"/>
                <w:szCs w:val="22"/>
                <w:lang w:val="sr-Cyrl-RS"/>
              </w:rPr>
              <w:t>Укупна цена свих услуга са ПДВ-ом</w:t>
            </w:r>
          </w:p>
        </w:tc>
        <w:tc>
          <w:tcPr>
            <w:tcW w:w="4900" w:type="dxa"/>
            <w:gridSpan w:val="3"/>
            <w:vAlign w:val="center"/>
          </w:tcPr>
          <w:p w14:paraId="50765992" w14:textId="77777777" w:rsidR="00D75F8B" w:rsidRPr="00D75F8B" w:rsidRDefault="00D75F8B" w:rsidP="0099411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</w:tbl>
    <w:p w14:paraId="4BFE16A5" w14:textId="1405FFAB" w:rsidR="0076352C" w:rsidRPr="00D75F8B" w:rsidRDefault="0076352C" w:rsidP="0076352C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eastAsia="Calibri" w:hAnsi="Arial" w:cs="Arial"/>
          <w:sz w:val="22"/>
          <w:szCs w:val="22"/>
          <w:lang w:val="sr-Cyrl-CS" w:eastAsia="sr-Cyrl-CS"/>
        </w:rPr>
        <w:t>Рок приступа интервенцији је максимум 2 часа по пријему позива, а код интервентних кварова који могу проузроковати велике материјалне штете имовине и угрозити безбедност запослених, време одзива је одмах по позиву Наручиоца- Корисника услуге. (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Ближе описано под тачком 1. „</w:t>
      </w: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Опис предмета набавке услуга“).</w:t>
      </w:r>
    </w:p>
    <w:p w14:paraId="1320E7A2" w14:textId="39F9337C" w:rsidR="00D75F8B" w:rsidRPr="00D75F8B" w:rsidRDefault="00D75F8B" w:rsidP="0076352C">
      <w:pPr>
        <w:spacing w:before="240" w:after="24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Услуге везане за одржавање уређаја Наручиоца-Корисника услуга су:</w:t>
      </w:r>
    </w:p>
    <w:p w14:paraId="3826B148" w14:textId="77777777" w:rsidR="0076352C" w:rsidRPr="00D75F8B" w:rsidRDefault="0076352C" w:rsidP="0076352C">
      <w:pPr>
        <w:numPr>
          <w:ilvl w:val="0"/>
          <w:numId w:val="8"/>
        </w:numPr>
        <w:tabs>
          <w:tab w:val="left" w:pos="495"/>
        </w:tabs>
        <w:spacing w:after="200" w:line="250" w:lineRule="exact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констатовање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и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отклањање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квара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>;</w:t>
      </w:r>
    </w:p>
    <w:p w14:paraId="3F6BECCD" w14:textId="77777777" w:rsidR="0076352C" w:rsidRPr="00D75F8B" w:rsidRDefault="0076352C" w:rsidP="0076352C">
      <w:pPr>
        <w:numPr>
          <w:ilvl w:val="0"/>
          <w:numId w:val="8"/>
        </w:numPr>
        <w:tabs>
          <w:tab w:val="left" w:pos="495"/>
        </w:tabs>
        <w:spacing w:after="200" w:line="250" w:lineRule="exact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замена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и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уградња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неопходних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резервних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делова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и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потрошног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материјала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>;</w:t>
      </w:r>
    </w:p>
    <w:p w14:paraId="2A683F8D" w14:textId="77777777" w:rsidR="0076352C" w:rsidRPr="00D75F8B" w:rsidRDefault="0076352C" w:rsidP="0076352C">
      <w:pPr>
        <w:numPr>
          <w:ilvl w:val="0"/>
          <w:numId w:val="8"/>
        </w:numPr>
        <w:tabs>
          <w:tab w:val="left" w:pos="495"/>
        </w:tabs>
        <w:spacing w:after="240" w:line="250" w:lineRule="exact"/>
        <w:jc w:val="both"/>
        <w:rPr>
          <w:rFonts w:ascii="Arial" w:eastAsia="Calibri" w:hAnsi="Arial" w:cs="Arial"/>
          <w:sz w:val="22"/>
          <w:szCs w:val="22"/>
        </w:rPr>
      </w:pPr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и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други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слични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послови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везано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за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исправно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функционисање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 xml:space="preserve"> </w:t>
      </w:r>
      <w:proofErr w:type="spellStart"/>
      <w:r w:rsidRPr="00D75F8B">
        <w:rPr>
          <w:rFonts w:ascii="Arial" w:eastAsia="Calibri" w:hAnsi="Arial" w:cs="Arial"/>
          <w:sz w:val="22"/>
          <w:szCs w:val="22"/>
          <w:lang w:eastAsia="sr-Cyrl-CS"/>
        </w:rPr>
        <w:t>електроуређаја</w:t>
      </w:r>
      <w:proofErr w:type="spellEnd"/>
      <w:r w:rsidRPr="00D75F8B">
        <w:rPr>
          <w:rFonts w:ascii="Arial" w:eastAsia="Calibri" w:hAnsi="Arial" w:cs="Arial"/>
          <w:sz w:val="22"/>
          <w:szCs w:val="22"/>
          <w:lang w:eastAsia="sr-Cyrl-CS"/>
        </w:rPr>
        <w:t>;</w:t>
      </w:r>
    </w:p>
    <w:p w14:paraId="7C5ADE35" w14:textId="77777777" w:rsidR="0076352C" w:rsidRPr="00D75F8B" w:rsidRDefault="0076352C" w:rsidP="0076352C">
      <w:pPr>
        <w:spacing w:line="254" w:lineRule="exact"/>
        <w:ind w:right="200"/>
        <w:rPr>
          <w:rFonts w:ascii="Arial" w:eastAsia="Calibri" w:hAnsi="Arial" w:cs="Arial"/>
          <w:sz w:val="22"/>
          <w:szCs w:val="22"/>
          <w:lang w:val="sr-Cyrl-CS"/>
        </w:rPr>
      </w:pPr>
    </w:p>
    <w:p w14:paraId="450B9D3A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Рок важности понуде: ___________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>дана од дана пријема понуде.</w:t>
      </w:r>
    </w:p>
    <w:p w14:paraId="699B8B37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F38B252" w14:textId="77777777" w:rsidR="0076352C" w:rsidRPr="00D75F8B" w:rsidRDefault="0076352C" w:rsidP="0076352C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D75F8B">
        <w:rPr>
          <w:rFonts w:ascii="Arial" w:hAnsi="Arial" w:cs="Arial"/>
          <w:i/>
          <w:sz w:val="22"/>
          <w:szCs w:val="22"/>
          <w:lang w:val="sr-Cyrl-RS" w:eastAsia="ar-SA"/>
        </w:rPr>
        <w:t>Напомена: Рок важности понуде не може бити краћи од 30 дана.</w:t>
      </w:r>
    </w:p>
    <w:p w14:paraId="0D1DB880" w14:textId="77777777" w:rsidR="0076352C" w:rsidRPr="00D75F8B" w:rsidRDefault="0076352C" w:rsidP="0076352C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D75F8B">
        <w:rPr>
          <w:rFonts w:ascii="Arial" w:hAnsi="Arial" w:cs="Arial"/>
          <w:sz w:val="22"/>
          <w:szCs w:val="22"/>
          <w:lang w:val="sr-Latn-RS" w:eastAsia="sr-Latn-RS"/>
        </w:rPr>
        <w:t>МЕСТО:</w:t>
      </w:r>
      <w:r w:rsidRPr="00D75F8B">
        <w:rPr>
          <w:rFonts w:ascii="Arial" w:hAnsi="Arial" w:cs="Arial"/>
          <w:sz w:val="22"/>
          <w:szCs w:val="22"/>
          <w:lang w:eastAsia="sr-Latn-RS"/>
        </w:rPr>
        <w:t>__________________</w:t>
      </w:r>
    </w:p>
    <w:p w14:paraId="483BCFA1" w14:textId="77777777" w:rsidR="0076352C" w:rsidRPr="00D75F8B" w:rsidRDefault="0076352C" w:rsidP="0076352C">
      <w:pPr>
        <w:suppressAutoHyphens/>
        <w:spacing w:before="100" w:beforeAutospacing="1"/>
        <w:rPr>
          <w:rFonts w:ascii="Arial" w:hAnsi="Arial" w:cs="Arial"/>
          <w:sz w:val="22"/>
          <w:szCs w:val="22"/>
          <w:lang w:eastAsia="sr-Latn-RS"/>
        </w:rPr>
      </w:pPr>
      <w:r w:rsidRPr="00D75F8B">
        <w:rPr>
          <w:rFonts w:ascii="Arial" w:hAnsi="Arial" w:cs="Arial"/>
          <w:sz w:val="22"/>
          <w:szCs w:val="22"/>
          <w:lang w:val="sr-Latn-RS" w:eastAsia="sr-Latn-RS"/>
        </w:rPr>
        <w:t>ДАТУМ:</w:t>
      </w:r>
      <w:r w:rsidRPr="00D75F8B">
        <w:rPr>
          <w:rFonts w:ascii="Arial" w:hAnsi="Arial" w:cs="Arial"/>
          <w:sz w:val="22"/>
          <w:szCs w:val="22"/>
          <w:lang w:eastAsia="sr-Latn-RS"/>
        </w:rPr>
        <w:t>__________________</w:t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</w:p>
    <w:p w14:paraId="529E5EC5" w14:textId="3999381E" w:rsidR="002F0D78" w:rsidRPr="00D75F8B" w:rsidRDefault="0076352C" w:rsidP="0076352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val="sr-Cyrl-RS" w:eastAsia="sr-Latn-RS"/>
        </w:rPr>
        <w:t>М.П.</w:t>
      </w:r>
      <w:r w:rsidRPr="00D75F8B">
        <w:rPr>
          <w:rFonts w:ascii="Arial" w:hAnsi="Arial" w:cs="Arial"/>
          <w:sz w:val="22"/>
          <w:szCs w:val="22"/>
          <w:lang w:eastAsia="sr-Latn-RS"/>
        </w:rPr>
        <w:tab/>
      </w:r>
      <w:r w:rsidRPr="00D75F8B">
        <w:rPr>
          <w:rFonts w:ascii="Arial" w:hAnsi="Arial" w:cs="Arial"/>
          <w:sz w:val="22"/>
          <w:szCs w:val="22"/>
          <w:lang w:eastAsia="sr-Latn-RS"/>
        </w:rPr>
        <w:tab/>
        <w:t xml:space="preserve">        ПОНУЂАЧ:___________________</w:t>
      </w:r>
    </w:p>
    <w:p w14:paraId="1F0FB32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73F4588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14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3CF0DD91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-14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79E91C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2F0B0F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6C0B1E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9755557" w14:textId="3E021E60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543080" w14:textId="1172BD21" w:rsidR="00D75F8B" w:rsidRDefault="00D75F8B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CE465E" w14:textId="77777777" w:rsidR="00D75F8B" w:rsidRDefault="00D75F8B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0C7BCA0" w14:textId="77777777" w:rsidR="00D75F8B" w:rsidRPr="00D75F8B" w:rsidRDefault="00D75F8B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557B87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14C2FC8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D2A85B9" w14:textId="77777777" w:rsidR="00C14D19" w:rsidRPr="00D75F8B" w:rsidRDefault="00C14D19" w:rsidP="00C14D19">
      <w:pPr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135907F1" w14:textId="77777777" w:rsidR="00C14D19" w:rsidRPr="00D75F8B" w:rsidRDefault="00C14D1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51954F" w14:textId="77777777" w:rsidR="0076352C" w:rsidRPr="00D75F8B" w:rsidRDefault="0076352C" w:rsidP="0076352C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D75F8B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D75F8B">
        <w:rPr>
          <w:rFonts w:ascii="Arial" w:hAnsi="Arial" w:cs="Arial"/>
          <w:sz w:val="22"/>
          <w:szCs w:val="22"/>
          <w:lang w:val="ru-RU"/>
        </w:rPr>
        <w:t>08246912</w:t>
      </w:r>
      <w:r w:rsidRPr="00D75F8B">
        <w:rPr>
          <w:rFonts w:ascii="Arial" w:hAnsi="Arial" w:cs="Arial"/>
          <w:sz w:val="22"/>
          <w:szCs w:val="22"/>
          <w:lang w:val="sr-Latn-CS"/>
        </w:rPr>
        <w:t>,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D75F8B">
        <w:rPr>
          <w:rFonts w:ascii="Arial" w:hAnsi="Arial" w:cs="Arial"/>
          <w:sz w:val="22"/>
          <w:szCs w:val="22"/>
          <w:lang w:val="ru-RU"/>
        </w:rPr>
        <w:t>100452714</w:t>
      </w:r>
      <w:r w:rsidRPr="00D75F8B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D75F8B">
        <w:rPr>
          <w:rFonts w:ascii="Arial" w:hAnsi="Arial" w:cs="Arial"/>
          <w:sz w:val="22"/>
          <w:szCs w:val="22"/>
          <w:lang w:val="sr-Cyrl-CS"/>
        </w:rPr>
        <w:t>трезор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кога заступа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37D9D25D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и</w:t>
      </w:r>
    </w:p>
    <w:p w14:paraId="3A680B62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(у даљем тексту:  Добављач), рачун број: ________________________ код _______________, матични број:____________________ ПИБ: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__________</w:t>
      </w:r>
      <w:r w:rsidRPr="00D75F8B">
        <w:rPr>
          <w:rFonts w:ascii="Arial" w:hAnsi="Arial" w:cs="Arial"/>
          <w:sz w:val="22"/>
          <w:szCs w:val="22"/>
          <w:lang w:val="sr-Cyrl-RS"/>
        </w:rPr>
        <w:t>_____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14:paraId="4489810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A27958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закључили су,</w:t>
      </w:r>
    </w:p>
    <w:p w14:paraId="0BA0276D" w14:textId="77777777" w:rsidR="0076352C" w:rsidRPr="00D75F8B" w:rsidRDefault="0076352C" w:rsidP="0076352C">
      <w:pPr>
        <w:suppressAutoHyphens/>
        <w:rPr>
          <w:rFonts w:ascii="Arial" w:hAnsi="Arial" w:cs="Arial"/>
          <w:sz w:val="22"/>
          <w:szCs w:val="22"/>
          <w:lang w:val="sl-SI" w:eastAsia="ar-SA"/>
        </w:rPr>
      </w:pPr>
    </w:p>
    <w:p w14:paraId="1A1529BC" w14:textId="77777777" w:rsidR="0076352C" w:rsidRPr="00D75F8B" w:rsidRDefault="0076352C" w:rsidP="0076352C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 xml:space="preserve">УГОВОР 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НАБАВЦИ УСЛУГА</w:t>
      </w:r>
    </w:p>
    <w:p w14:paraId="17790C5D" w14:textId="701D5273" w:rsidR="00994114" w:rsidRPr="00D75F8B" w:rsidRDefault="00994114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Сервис електри</w:t>
      </w:r>
      <w:r w:rsidR="00E67BF6">
        <w:rPr>
          <w:rFonts w:ascii="Arial" w:hAnsi="Arial" w:cs="Arial"/>
          <w:b/>
          <w:sz w:val="22"/>
          <w:szCs w:val="22"/>
          <w:lang w:val="sr-Cyrl-RS"/>
        </w:rPr>
        <w:t>чних уређаја, апарата, расхладн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е и друге опреме за домаћинство</w:t>
      </w:r>
    </w:p>
    <w:p w14:paraId="3F2461E1" w14:textId="581ACEB6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НА-14/2022</w:t>
      </w:r>
    </w:p>
    <w:p w14:paraId="71CBDBFD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34C35E4A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14:paraId="46050D95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D75F8B">
        <w:rPr>
          <w:rFonts w:ascii="Arial" w:hAnsi="Arial" w:cs="Arial"/>
          <w:sz w:val="22"/>
          <w:szCs w:val="22"/>
          <w:lang w:val="ru-RU" w:eastAsia="ar-SA"/>
        </w:rPr>
        <w:t>Уговорне стране констатују:</w:t>
      </w:r>
    </w:p>
    <w:p w14:paraId="4AE6D8A8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15128278" w14:textId="2C3DFE21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D75F8B">
        <w:rPr>
          <w:rFonts w:ascii="Arial" w:hAnsi="Arial" w:cs="Arial"/>
          <w:sz w:val="22"/>
          <w:szCs w:val="22"/>
          <w:lang w:val="ru-RU" w:eastAsia="ar-SA"/>
        </w:rPr>
        <w:t>Предмет уговора је пружање услуга, „</w:t>
      </w:r>
      <w:r w:rsidR="00D75F8B" w:rsidRPr="00D75F8B">
        <w:rPr>
          <w:rFonts w:ascii="Arial" w:hAnsi="Arial" w:cs="Arial"/>
          <w:sz w:val="22"/>
          <w:szCs w:val="22"/>
          <w:lang w:val="ru-RU" w:eastAsia="ar-SA"/>
        </w:rPr>
        <w:t>Сервис</w:t>
      </w:r>
      <w:r w:rsidR="00CD13B0">
        <w:rPr>
          <w:rFonts w:ascii="Arial" w:hAnsi="Arial" w:cs="Arial"/>
          <w:sz w:val="22"/>
          <w:szCs w:val="22"/>
          <w:lang w:val="ru-RU" w:eastAsia="ar-SA"/>
        </w:rPr>
        <w:t>а</w:t>
      </w:r>
      <w:r w:rsidR="00D75F8B" w:rsidRPr="00D75F8B">
        <w:rPr>
          <w:rFonts w:ascii="Arial" w:hAnsi="Arial" w:cs="Arial"/>
          <w:sz w:val="22"/>
          <w:szCs w:val="22"/>
          <w:lang w:val="ru-RU" w:eastAsia="ar-SA"/>
        </w:rPr>
        <w:t xml:space="preserve"> електри</w:t>
      </w:r>
      <w:r w:rsidR="00E67BF6">
        <w:rPr>
          <w:rFonts w:ascii="Arial" w:hAnsi="Arial" w:cs="Arial"/>
          <w:sz w:val="22"/>
          <w:szCs w:val="22"/>
          <w:lang w:val="ru-RU" w:eastAsia="ar-SA"/>
        </w:rPr>
        <w:t>чних уређаја, апарата, расхладн</w:t>
      </w:r>
      <w:bookmarkStart w:id="0" w:name="_GoBack"/>
      <w:bookmarkEnd w:id="0"/>
      <w:r w:rsidR="00D75F8B" w:rsidRPr="00D75F8B">
        <w:rPr>
          <w:rFonts w:ascii="Arial" w:hAnsi="Arial" w:cs="Arial"/>
          <w:sz w:val="22"/>
          <w:szCs w:val="22"/>
          <w:lang w:val="ru-RU" w:eastAsia="ar-SA"/>
        </w:rPr>
        <w:t>е и друге опреме за домаћинство</w:t>
      </w:r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“, које обухватају услуге одржавања лифтова, а које су дефинисанe и описанe Техничком спецификацијом, односно у Понуди Добављача </w:t>
      </w:r>
      <w:proofErr w:type="gramStart"/>
      <w:r w:rsidRPr="00D75F8B">
        <w:rPr>
          <w:rFonts w:ascii="Arial" w:hAnsi="Arial" w:cs="Arial"/>
          <w:sz w:val="22"/>
          <w:szCs w:val="22"/>
          <w:lang w:val="ru-RU" w:eastAsia="ar-SA"/>
        </w:rPr>
        <w:t>бр._</w:t>
      </w:r>
      <w:proofErr w:type="gramEnd"/>
      <w:r w:rsidRPr="00D75F8B">
        <w:rPr>
          <w:rFonts w:ascii="Arial" w:hAnsi="Arial" w:cs="Arial"/>
          <w:sz w:val="22"/>
          <w:szCs w:val="22"/>
          <w:lang w:val="ru-RU" w:eastAsia="ar-SA"/>
        </w:rPr>
        <w:t>_________од _______   године која је саставни и обавезујући део овог уговора (у даљем тексту: Понуда Добављача).</w:t>
      </w:r>
    </w:p>
    <w:p w14:paraId="0223FC7B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3999A7B7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D75F8B">
        <w:rPr>
          <w:rFonts w:ascii="Arial" w:hAnsi="Arial" w:cs="Arial"/>
          <w:sz w:val="22"/>
          <w:szCs w:val="22"/>
          <w:lang w:val="ru-RU" w:eastAsia="ar-SA"/>
        </w:rPr>
        <w:t>Добављач се обавезује да ће услуге у складу са захтевом из претходног става  извршити по прихваћеној цени у року наведеном у понуди.</w:t>
      </w:r>
    </w:p>
    <w:p w14:paraId="56C3F7B1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37021479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  <w:r w:rsidRPr="00D75F8B">
        <w:rPr>
          <w:rFonts w:ascii="Arial" w:hAnsi="Arial" w:cs="Arial"/>
          <w:sz w:val="22"/>
          <w:szCs w:val="22"/>
          <w:lang w:val="ru-RU" w:eastAsia="ar-SA"/>
        </w:rPr>
        <w:t>Предметне услуге извршаваће се у просторијама Наручиоца према динамици утврђеној спрам реалних потреба Наручиоца.</w:t>
      </w:r>
    </w:p>
    <w:p w14:paraId="65D83142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14:paraId="31E69FDF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14:paraId="77900141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Уговор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закључује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процењену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вредност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D75F8B">
        <w:rPr>
          <w:rFonts w:ascii="Arial" w:hAnsi="Arial" w:cs="Arial"/>
          <w:sz w:val="22"/>
          <w:szCs w:val="22"/>
        </w:rPr>
        <w:t>динара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без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пдв</w:t>
      </w:r>
      <w:proofErr w:type="spellEnd"/>
      <w:r w:rsidRPr="00D75F8B">
        <w:rPr>
          <w:rFonts w:ascii="Arial" w:hAnsi="Arial" w:cs="Arial"/>
          <w:sz w:val="22"/>
          <w:szCs w:val="22"/>
        </w:rPr>
        <w:t>-а</w:t>
      </w:r>
      <w:proofErr w:type="gramStart"/>
      <w:r w:rsidRPr="00D75F8B">
        <w:rPr>
          <w:rFonts w:ascii="Arial" w:hAnsi="Arial" w:cs="Arial"/>
          <w:sz w:val="22"/>
          <w:szCs w:val="22"/>
        </w:rPr>
        <w:t>,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тј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                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са ПДВ-ом, </w:t>
      </w:r>
      <w:proofErr w:type="spellStart"/>
      <w:r w:rsidRPr="00D75F8B">
        <w:rPr>
          <w:rFonts w:ascii="Arial" w:hAnsi="Arial" w:cs="Arial"/>
          <w:sz w:val="22"/>
          <w:szCs w:val="22"/>
        </w:rPr>
        <w:t>који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обезбеђен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планом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Планом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набавки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Купца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Pr="00D75F8B">
        <w:rPr>
          <w:rFonts w:ascii="Arial" w:hAnsi="Arial" w:cs="Arial"/>
          <w:sz w:val="22"/>
          <w:szCs w:val="22"/>
        </w:rPr>
        <w:t>годину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намену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6A8D133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</w:t>
      </w:r>
    </w:p>
    <w:p w14:paraId="412842C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Јединичне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из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чл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исказане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Понуди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Продавца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бр</w:t>
      </w:r>
      <w:proofErr w:type="spellEnd"/>
      <w:r w:rsidRPr="00D75F8B">
        <w:rPr>
          <w:rFonts w:ascii="Arial" w:hAnsi="Arial" w:cs="Arial"/>
          <w:sz w:val="22"/>
          <w:szCs w:val="22"/>
        </w:rPr>
        <w:t>. ........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75F8B">
        <w:rPr>
          <w:rFonts w:ascii="Arial" w:hAnsi="Arial" w:cs="Arial"/>
          <w:sz w:val="22"/>
          <w:szCs w:val="22"/>
        </w:rPr>
        <w:t>Прилог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D75F8B">
        <w:rPr>
          <w:rFonts w:ascii="Arial" w:hAnsi="Arial" w:cs="Arial"/>
          <w:sz w:val="22"/>
          <w:szCs w:val="22"/>
        </w:rPr>
        <w:t>исте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примењују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извршењу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097E0C2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Јединична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обухвата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трошкове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настале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приликом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пружања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75F8B">
        <w:rPr>
          <w:rFonts w:ascii="Arial" w:hAnsi="Arial" w:cs="Arial"/>
          <w:sz w:val="22"/>
          <w:szCs w:val="22"/>
        </w:rPr>
        <w:t>како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наведено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Обрасцу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1D9638FD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2714F277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намену.</w:t>
      </w:r>
    </w:p>
    <w:p w14:paraId="69A68DAE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5962CD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14:paraId="5D4426A0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A8AAA22" w14:textId="77777777" w:rsidR="0076352C" w:rsidRPr="00D75F8B" w:rsidRDefault="0076352C" w:rsidP="0076352C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Јединичне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предмет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периоду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важности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без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обзира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време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извршења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друге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околности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утичу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формирање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предметних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, осим у оправданим случајевима где ће се обе уговорне стране сагласити са </w:t>
      </w:r>
      <w:proofErr w:type="gramStart"/>
      <w:r w:rsidRPr="00D75F8B">
        <w:rPr>
          <w:rFonts w:ascii="Arial" w:hAnsi="Arial" w:cs="Arial"/>
          <w:sz w:val="22"/>
          <w:szCs w:val="22"/>
          <w:lang w:val="sr-Cyrl-RS"/>
        </w:rPr>
        <w:t>променом .</w:t>
      </w:r>
      <w:proofErr w:type="gramEnd"/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4ADA44E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8528E4" w14:textId="77777777" w:rsidR="0076352C" w:rsidRPr="00D75F8B" w:rsidRDefault="0076352C" w:rsidP="0076352C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lastRenderedPageBreak/>
        <w:t>Плаћање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извршити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року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237E8387" w14:textId="77777777" w:rsidR="0076352C" w:rsidRPr="00D75F8B" w:rsidRDefault="0076352C" w:rsidP="0076352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Добављач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се обавезује да на свакој фактури унесе број под којим је Уговор заведен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Института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јавно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здравље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RS"/>
        </w:rPr>
        <w:t>Војводине</w:t>
      </w:r>
      <w:r w:rsidRPr="00D75F8B">
        <w:rPr>
          <w:rFonts w:ascii="Arial" w:hAnsi="Arial" w:cs="Arial"/>
          <w:sz w:val="22"/>
          <w:szCs w:val="22"/>
          <w:lang w:val="sr-Cyrl-CS"/>
        </w:rPr>
        <w:t>), као и тачан опис извршених услуга.</w:t>
      </w:r>
    </w:p>
    <w:p w14:paraId="47889D92" w14:textId="77777777" w:rsidR="0076352C" w:rsidRPr="00D75F8B" w:rsidRDefault="0076352C" w:rsidP="0076352C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Рачуни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сачињени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складу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наведеним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Добављачу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D75F8B">
        <w:rPr>
          <w:rFonts w:ascii="Arial" w:hAnsi="Arial" w:cs="Arial"/>
          <w:sz w:val="22"/>
          <w:szCs w:val="22"/>
        </w:rPr>
        <w:t>плаћање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одложено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штету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Добављача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исправан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рачун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>.</w:t>
      </w:r>
    </w:p>
    <w:p w14:paraId="5F11C779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481E5A34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>лан 3.</w:t>
      </w:r>
    </w:p>
    <w:p w14:paraId="4F775049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услуга поправке су просторије Института за јавно здравље Војводине, а уколико није могуће услугу обавити на терену, поправка ће се  извршити у сервису понуђача.  </w:t>
      </w:r>
    </w:p>
    <w:p w14:paraId="2F4FE0BB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Предметна услуга обухвата долазак у просторије наручиоца, утврђивање квара, отклањање недостатака и замену неисправних делова новим, резервним деловима и све зависне трошкове. </w:t>
      </w:r>
    </w:p>
    <w:p w14:paraId="266D221A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Поправка уређаја се врши по цени (по позиву – по уређају) исказаној у обрасцу понуде.   </w:t>
      </w:r>
    </w:p>
    <w:p w14:paraId="43C213D1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Понуђач је обавезан да се одазове у року од 2 (два) сата по пријему захтева наручиоца за поправку (телефоном, телефаксом или е-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mailo</w:t>
      </w:r>
      <w:proofErr w:type="spellEnd"/>
      <w:r w:rsidRPr="00D75F8B">
        <w:rPr>
          <w:rFonts w:ascii="Arial" w:hAnsi="Arial" w:cs="Arial"/>
          <w:sz w:val="22"/>
          <w:szCs w:val="22"/>
          <w:lang w:val="sr-Latn-RS" w:eastAsia="ar-SA"/>
        </w:rPr>
        <w:t>m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>), у редовно радно време  (6:30 – 20:00 сати, радним данима, ) као  и након радног времена и нерадним данима када је то неопходно.</w:t>
      </w:r>
    </w:p>
    <w:p w14:paraId="077F00A3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Уколико је током реализације уговора неопходно извршити набавку и уградњу резервног дела и потрошног материјала ради поправке, пружање услуге се врши на основу претходне писане сагласности Наручиоца на понуду Понуђача (Пружаоца).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</w:t>
      </w:r>
    </w:p>
    <w:p w14:paraId="2E481A2C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F20E33A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Члан 4.</w:t>
      </w:r>
    </w:p>
    <w:p w14:paraId="4BB9E85C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Добављач-пружалац услуга се обавезује да ће наручилац имати врло висок приоритет при извршавању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пооправки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и да ће послове извршавати на високо професионалном нивоу, уз гаранцију извршених радова.</w:t>
      </w:r>
    </w:p>
    <w:p w14:paraId="3613E56B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понуђача,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7 (седам) радних дана од дана пријема писане сагласности Наручиоца. Све поправке на уграђеним резервним деловима, у гарантном року сноси понуђач.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Замењенe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резервнe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деловe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који нису у гарантном року вратити наручиоцу. </w:t>
      </w:r>
    </w:p>
    <w:p w14:paraId="3455051A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Гарантни рок за пружене услуге поправке апарата не може бити краћи од 12 (дванаест) месеци.  </w:t>
      </w:r>
    </w:p>
    <w:p w14:paraId="3CB17802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Уколико Добављач- пружалац услуга не испоштује обавезе и наручилац утврди да неоправдано долази до кашњења у извршењу истих, Наручилац има право једностраног раскида уговора.</w:t>
      </w:r>
    </w:p>
    <w:p w14:paraId="7F55BC17" w14:textId="77777777" w:rsidR="0076352C" w:rsidRPr="00D75F8B" w:rsidRDefault="0076352C" w:rsidP="0076352C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71DB69E" w14:textId="77777777" w:rsidR="0076352C" w:rsidRPr="00D75F8B" w:rsidRDefault="0076352C" w:rsidP="0076352C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69F39367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Члан 5.</w:t>
      </w:r>
    </w:p>
    <w:p w14:paraId="406AC59D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прописим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>, уговорне стране ће поступати према правилима која су предвиђена тим прописима.</w:t>
      </w:r>
    </w:p>
    <w:p w14:paraId="5B2BE0CA" w14:textId="3196D4C2" w:rsidR="0076352C" w:rsidRDefault="0076352C" w:rsidP="0076352C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026CF1F8" w14:textId="57100C7F" w:rsidR="00D75F8B" w:rsidRDefault="00D75F8B" w:rsidP="0076352C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DBC556E" w14:textId="77777777" w:rsidR="00D75F8B" w:rsidRPr="00D75F8B" w:rsidRDefault="00D75F8B" w:rsidP="0076352C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3D5B8D89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>Члан 6.</w:t>
      </w:r>
    </w:p>
    <w:p w14:paraId="7C5186AD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Добављач-пружалац услуга се обавезује да ће пословати у складу са прописима Републике Србије</w:t>
      </w:r>
      <w:r w:rsidRPr="00D75F8B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Пружалац услуга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5EA886BE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2461672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Члан 7.</w:t>
      </w:r>
    </w:p>
    <w:p w14:paraId="55D7CAB6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ru-RU"/>
        </w:rPr>
        <w:t>Овај</w:t>
      </w:r>
      <w:r w:rsidRPr="00D75F8B">
        <w:rPr>
          <w:rFonts w:ascii="Arial" w:hAnsi="Arial" w:cs="Arial"/>
          <w:sz w:val="22"/>
          <w:szCs w:val="22"/>
          <w:lang w:val="nl-NL"/>
        </w:rPr>
        <w:t xml:space="preserve"> </w:t>
      </w:r>
      <w:r w:rsidRPr="00D75F8B">
        <w:rPr>
          <w:rFonts w:ascii="Arial" w:hAnsi="Arial" w:cs="Arial"/>
          <w:sz w:val="22"/>
          <w:szCs w:val="22"/>
          <w:lang w:val="ru-RU"/>
        </w:rPr>
        <w:t>уговор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D75F8B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</w:t>
      </w:r>
      <w:r w:rsidRPr="00D75F8B">
        <w:rPr>
          <w:rFonts w:ascii="Arial" w:hAnsi="Arial" w:cs="Arial"/>
          <w:sz w:val="22"/>
          <w:szCs w:val="22"/>
          <w:lang w:val="sr-Latn-RS" w:eastAsia="ar-SA"/>
        </w:rPr>
        <w:t xml:space="preserve">. 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>Уговор може престати споразумом уговорних страна.</w:t>
      </w:r>
    </w:p>
    <w:p w14:paraId="528883E8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A393951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D75F8B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D75F8B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Pr="00D75F8B">
        <w:rPr>
          <w:rFonts w:ascii="Arial" w:hAnsi="Arial" w:cs="Arial"/>
          <w:sz w:val="22"/>
          <w:szCs w:val="22"/>
          <w:lang w:val="sr-Cyrl-RS"/>
        </w:rPr>
        <w:t>добављача-</w:t>
      </w:r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Cyrl-RS" w:eastAsia="ar-SA"/>
        </w:rPr>
        <w:t>пружаоца</w:t>
      </w:r>
      <w:proofErr w:type="spellEnd"/>
      <w:r w:rsidRPr="00D75F8B">
        <w:rPr>
          <w:rFonts w:ascii="Arial" w:hAnsi="Arial" w:cs="Arial"/>
          <w:sz w:val="22"/>
          <w:szCs w:val="22"/>
          <w:lang w:val="sr-Cyrl-RS" w:eastAsia="ar-SA"/>
        </w:rPr>
        <w:t xml:space="preserve"> услуга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D75F8B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D75F8B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6058B0B1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57F4F17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Д</w:t>
      </w:r>
      <w:r w:rsidRPr="00D75F8B">
        <w:rPr>
          <w:rFonts w:ascii="Arial" w:hAnsi="Arial" w:cs="Arial"/>
          <w:sz w:val="22"/>
          <w:szCs w:val="22"/>
          <w:lang w:val="ru-RU"/>
        </w:rPr>
        <w:t>обављач је обавезан да нару</w:t>
      </w:r>
      <w:r w:rsidRPr="00D75F8B">
        <w:rPr>
          <w:rFonts w:ascii="Arial" w:hAnsi="Arial" w:cs="Arial"/>
          <w:sz w:val="22"/>
          <w:szCs w:val="22"/>
          <w:lang w:val="sr-Cyrl-CS"/>
        </w:rPr>
        <w:t>ч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иоцу надокнади </w:t>
      </w:r>
      <w:r w:rsidRPr="00D75F8B">
        <w:rPr>
          <w:rFonts w:ascii="Arial" w:hAnsi="Arial" w:cs="Arial"/>
          <w:sz w:val="22"/>
          <w:szCs w:val="22"/>
          <w:lang w:val="sr-Cyrl-CS"/>
        </w:rPr>
        <w:t>ш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тету која је настала услед раскида </w:t>
      </w:r>
      <w:r w:rsidRPr="00D75F8B">
        <w:rPr>
          <w:rFonts w:ascii="Arial" w:hAnsi="Arial" w:cs="Arial"/>
          <w:sz w:val="22"/>
          <w:szCs w:val="22"/>
          <w:lang w:val="sr-Cyrl-CS"/>
        </w:rPr>
        <w:t>У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говора, уколико је добављач одговоран за раскид </w:t>
      </w:r>
      <w:r w:rsidRPr="00D75F8B">
        <w:rPr>
          <w:rFonts w:ascii="Arial" w:hAnsi="Arial" w:cs="Arial"/>
          <w:sz w:val="22"/>
          <w:szCs w:val="22"/>
          <w:lang w:val="sr-Cyrl-CS"/>
        </w:rPr>
        <w:t>У</w:t>
      </w:r>
      <w:r w:rsidRPr="00D75F8B">
        <w:rPr>
          <w:rFonts w:ascii="Arial" w:hAnsi="Arial" w:cs="Arial"/>
          <w:sz w:val="22"/>
          <w:szCs w:val="22"/>
          <w:lang w:val="ru-RU"/>
        </w:rPr>
        <w:t>говора.</w:t>
      </w:r>
    </w:p>
    <w:p w14:paraId="400A0890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BF742AB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37C58977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D75F8B">
        <w:rPr>
          <w:rFonts w:ascii="Arial" w:hAnsi="Arial" w:cs="Arial"/>
          <w:sz w:val="22"/>
          <w:szCs w:val="22"/>
          <w:lang w:val="sr-Cyrl-CS"/>
        </w:rPr>
        <w:t>ж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е изменити само писаним анексом,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овла</w:t>
      </w:r>
      <w:r w:rsidRPr="00D75F8B">
        <w:rPr>
          <w:rFonts w:ascii="Arial" w:hAnsi="Arial" w:cs="Arial"/>
          <w:sz w:val="22"/>
          <w:szCs w:val="22"/>
          <w:lang w:val="sr-Cyrl-CS"/>
        </w:rPr>
        <w:t>шћ</w:t>
      </w:r>
      <w:r w:rsidRPr="00D75F8B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303770EC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Члан 8.</w:t>
      </w:r>
    </w:p>
    <w:p w14:paraId="59F3EDA4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С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D75F8B">
        <w:rPr>
          <w:rFonts w:ascii="Arial" w:hAnsi="Arial" w:cs="Arial"/>
          <w:sz w:val="22"/>
          <w:szCs w:val="22"/>
          <w:lang w:val="sr-Cyrl-CS"/>
        </w:rPr>
        <w:t>ш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D75F8B">
        <w:rPr>
          <w:rFonts w:ascii="Arial" w:hAnsi="Arial" w:cs="Arial"/>
          <w:sz w:val="22"/>
          <w:szCs w:val="22"/>
          <w:lang w:val="sr-Cyrl-CS"/>
        </w:rPr>
        <w:t>одредбама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D75F8B">
        <w:rPr>
          <w:rFonts w:ascii="Arial" w:hAnsi="Arial" w:cs="Arial"/>
          <w:sz w:val="22"/>
          <w:szCs w:val="22"/>
          <w:lang w:val="sr-Cyrl-CS"/>
        </w:rPr>
        <w:t>ћ</w:t>
      </w:r>
      <w:r w:rsidRPr="00D75F8B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7DF09998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2416770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D75F8B">
        <w:rPr>
          <w:rFonts w:ascii="Arial" w:hAnsi="Arial" w:cs="Arial"/>
          <w:sz w:val="22"/>
          <w:szCs w:val="22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7229FA0B" w14:textId="77777777" w:rsidR="0076352C" w:rsidRPr="00D75F8B" w:rsidRDefault="0076352C" w:rsidP="0076352C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  <w:r w:rsidRPr="00D75F8B">
        <w:rPr>
          <w:rFonts w:ascii="Arial" w:hAnsi="Arial" w:cs="Arial"/>
          <w:sz w:val="22"/>
          <w:szCs w:val="22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>надлежним</w:t>
      </w:r>
      <w:proofErr w:type="spellEnd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 </w:t>
      </w:r>
      <w:proofErr w:type="spellStart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>судом</w:t>
      </w:r>
      <w:proofErr w:type="spellEnd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у </w:t>
      </w:r>
      <w:proofErr w:type="spellStart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>Новом</w:t>
      </w:r>
      <w:proofErr w:type="spellEnd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>Саду</w:t>
      </w:r>
      <w:proofErr w:type="spellEnd"/>
      <w:r w:rsidRPr="00D75F8B">
        <w:rPr>
          <w:rFonts w:ascii="Arial" w:hAnsi="Arial" w:cs="Arial"/>
          <w:bCs/>
          <w:iCs/>
          <w:sz w:val="22"/>
          <w:szCs w:val="22"/>
          <w:lang w:val="sr-Latn-CS" w:eastAsia="ar-SA"/>
        </w:rPr>
        <w:t>.</w:t>
      </w:r>
    </w:p>
    <w:p w14:paraId="4F6A6757" w14:textId="77777777" w:rsidR="0076352C" w:rsidRPr="00D75F8B" w:rsidRDefault="0076352C" w:rsidP="0076352C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</w:p>
    <w:p w14:paraId="400B4B73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D75F8B">
        <w:rPr>
          <w:rFonts w:ascii="Arial" w:hAnsi="Arial" w:cs="Arial"/>
          <w:sz w:val="22"/>
          <w:szCs w:val="22"/>
          <w:lang w:val="sr-Cyrl-CS" w:eastAsia="ar-SA"/>
        </w:rPr>
        <w:t>Уговор је сачињен у 2 (два) истоветна примерка, од којих 1 (један) примерка задржава Наручилац, а 1 (један) Добављач.</w:t>
      </w:r>
    </w:p>
    <w:p w14:paraId="0C5A4243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7DACC2C0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7B84BB7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243D9103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D75F8B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D75F8B">
        <w:rPr>
          <w:rFonts w:ascii="Arial" w:hAnsi="Arial" w:cs="Arial"/>
          <w:b/>
          <w:sz w:val="22"/>
          <w:szCs w:val="22"/>
          <w:lang w:val="ru-RU"/>
        </w:rPr>
        <w:t>- ПРУЖАОЦА УСЛУГА</w:t>
      </w:r>
      <w:r w:rsidRPr="00D75F8B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          </w:t>
      </w:r>
      <w:r w:rsidRPr="00D75F8B">
        <w:rPr>
          <w:rFonts w:ascii="Arial" w:hAnsi="Arial" w:cs="Arial"/>
          <w:b/>
          <w:sz w:val="22"/>
          <w:szCs w:val="22"/>
          <w:lang w:val="sr-Cyrl-CS"/>
        </w:rPr>
        <w:t>З</w:t>
      </w:r>
      <w:r w:rsidRPr="00D75F8B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D75F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D75F8B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68F0D849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ab/>
      </w:r>
      <w:r w:rsidRPr="00D75F8B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AA64B32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589FC5D5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D75F8B">
        <w:rPr>
          <w:rFonts w:ascii="Arial" w:hAnsi="Arial" w:cs="Arial"/>
          <w:sz w:val="22"/>
          <w:szCs w:val="22"/>
          <w:lang w:val="ru-RU"/>
        </w:rPr>
        <w:tab/>
      </w:r>
      <w:r w:rsidRPr="00D75F8B">
        <w:rPr>
          <w:rFonts w:ascii="Arial" w:hAnsi="Arial" w:cs="Arial"/>
          <w:sz w:val="22"/>
          <w:szCs w:val="22"/>
          <w:lang w:val="ru-RU"/>
        </w:rPr>
        <w:tab/>
      </w:r>
      <w:r w:rsidRPr="00D75F8B">
        <w:rPr>
          <w:rFonts w:ascii="Arial" w:hAnsi="Arial" w:cs="Arial"/>
          <w:sz w:val="22"/>
          <w:szCs w:val="22"/>
          <w:lang w:val="ru-RU"/>
        </w:rPr>
        <w:tab/>
      </w:r>
      <w:r w:rsidRPr="00D75F8B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D75F8B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04756236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14:paraId="26455F53" w14:textId="51B43F95" w:rsidR="0076352C" w:rsidRDefault="0076352C" w:rsidP="0076352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0AF817DD" w14:textId="77777777" w:rsidR="00D75F8B" w:rsidRPr="00D75F8B" w:rsidRDefault="00D75F8B" w:rsidP="0076352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10D695A5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 Датум потписивања уговора:</w:t>
      </w:r>
    </w:p>
    <w:p w14:paraId="13379EFB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7DAB3F6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________________________</w:t>
      </w:r>
    </w:p>
    <w:p w14:paraId="7C36C7B8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ru-RU"/>
        </w:rPr>
        <w:t>(попуњава Испоручилац</w:t>
      </w:r>
    </w:p>
    <w:p w14:paraId="03178E44" w14:textId="33BEF1DE" w:rsidR="009354F2" w:rsidRPr="00D75F8B" w:rsidRDefault="009354F2" w:rsidP="0076352C">
      <w:pPr>
        <w:pStyle w:val="BodyText"/>
        <w:jc w:val="both"/>
        <w:rPr>
          <w:rFonts w:ascii="Arial" w:hAnsi="Arial" w:cs="Arial"/>
          <w:sz w:val="22"/>
          <w:szCs w:val="22"/>
          <w:lang w:val="sl-SI"/>
        </w:rPr>
      </w:pPr>
    </w:p>
    <w:sectPr w:rsidR="009354F2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3B45" w14:textId="77777777" w:rsidR="00BD06A9" w:rsidRDefault="00BD06A9" w:rsidP="002F0D78">
      <w:r>
        <w:separator/>
      </w:r>
    </w:p>
  </w:endnote>
  <w:endnote w:type="continuationSeparator" w:id="0">
    <w:p w14:paraId="2716E3E0" w14:textId="77777777" w:rsidR="00BD06A9" w:rsidRDefault="00BD06A9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70D37370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67BF6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67BF6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BB22" w14:textId="77777777" w:rsidR="00BD06A9" w:rsidRDefault="00BD06A9" w:rsidP="002F0D78">
      <w:r>
        <w:separator/>
      </w:r>
    </w:p>
  </w:footnote>
  <w:footnote w:type="continuationSeparator" w:id="0">
    <w:p w14:paraId="07CF429D" w14:textId="77777777" w:rsidR="00BD06A9" w:rsidRDefault="00BD06A9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7A51"/>
    <w:rsid w:val="00151375"/>
    <w:rsid w:val="0017433B"/>
    <w:rsid w:val="00184625"/>
    <w:rsid w:val="0019057A"/>
    <w:rsid w:val="00191E81"/>
    <w:rsid w:val="00196B93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740F0"/>
    <w:rsid w:val="00277E49"/>
    <w:rsid w:val="00282E4B"/>
    <w:rsid w:val="002A0440"/>
    <w:rsid w:val="002A71C7"/>
    <w:rsid w:val="002C2D80"/>
    <w:rsid w:val="002E4136"/>
    <w:rsid w:val="002F0D78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D74CA"/>
    <w:rsid w:val="004E24F4"/>
    <w:rsid w:val="004E72F4"/>
    <w:rsid w:val="00501EC0"/>
    <w:rsid w:val="00505022"/>
    <w:rsid w:val="005215B0"/>
    <w:rsid w:val="00526A47"/>
    <w:rsid w:val="00531E3C"/>
    <w:rsid w:val="0053701D"/>
    <w:rsid w:val="005711C8"/>
    <w:rsid w:val="00583218"/>
    <w:rsid w:val="00594F33"/>
    <w:rsid w:val="005B172E"/>
    <w:rsid w:val="005B6CAA"/>
    <w:rsid w:val="005C4037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721B4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A0044A"/>
    <w:rsid w:val="00A22849"/>
    <w:rsid w:val="00A34706"/>
    <w:rsid w:val="00A41519"/>
    <w:rsid w:val="00A4217C"/>
    <w:rsid w:val="00A44BAD"/>
    <w:rsid w:val="00A700DE"/>
    <w:rsid w:val="00A70C54"/>
    <w:rsid w:val="00A713A2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24B5"/>
    <w:rsid w:val="00AF70BC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06A9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51E28"/>
    <w:rsid w:val="00C65FB9"/>
    <w:rsid w:val="00C70ECC"/>
    <w:rsid w:val="00C72CD8"/>
    <w:rsid w:val="00C734BB"/>
    <w:rsid w:val="00C9666F"/>
    <w:rsid w:val="00CC50E0"/>
    <w:rsid w:val="00CD0B71"/>
    <w:rsid w:val="00CD13B0"/>
    <w:rsid w:val="00CE12C9"/>
    <w:rsid w:val="00D75F8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654B3"/>
    <w:rsid w:val="00E67BF6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D3010"/>
    <w:rsid w:val="00ED4734"/>
    <w:rsid w:val="00EE335A"/>
    <w:rsid w:val="00EE5511"/>
    <w:rsid w:val="00EF207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6</cp:revision>
  <cp:lastPrinted>2019-02-11T12:46:00Z</cp:lastPrinted>
  <dcterms:created xsi:type="dcterms:W3CDTF">2022-04-15T07:22:00Z</dcterms:created>
  <dcterms:modified xsi:type="dcterms:W3CDTF">2022-04-15T08:46:00Z</dcterms:modified>
</cp:coreProperties>
</file>